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36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</w:rPr>
        <w:drawing>
          <wp:inline distB="114300" distT="114300" distL="114300" distR="114300">
            <wp:extent cx="3052763" cy="108501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2763" cy="10850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36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MẪU CHẾ ĐỘ PHÚC LỢI CHO NHÂN VIÊN</w:t>
      </w:r>
    </w:p>
    <w:tbl>
      <w:tblPr>
        <w:tblStyle w:val="Table1"/>
        <w:tblW w:w="92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845"/>
        <w:gridCol w:w="7365"/>
        <w:tblGridChange w:id="0">
          <w:tblGrid>
            <w:gridCol w:w="1845"/>
            <w:gridCol w:w="736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240" w:before="240"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Nhóm phúc lợi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after="240" w:before="240" w:line="36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Nội dung chi tiết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240" w:before="240"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1. Chính sách lương và phụ cấp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3"/>
              </w:numPr>
              <w:spacing w:after="0" w:afterAutospacing="0" w:before="24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Lương cạnh tranh, đảm bảo công bằng và hấp dẫn. Xét tăng lương 1–2 lần/năm dựa trên hiệu suất và đánh giá định kỳ.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3"/>
              </w:numPr>
              <w:spacing w:after="240" w:before="0" w:beforeAutospacing="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Phụ cấp: ăn trưa, xăng xe, điện thoại. Có phụ cấp công tác cho nhân viên làm việc tại dự án xa.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240" w:before="240"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2. Thưởng và khuyến khích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4"/>
              </w:numPr>
              <w:spacing w:after="0" w:afterAutospacing="0" w:before="24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Thưởng định kỳ: lương tháng 13, thưởng hiệu suất, thưởng nóng, thưởng cá nhân/tập thể xuất sắc.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4"/>
              </w:numPr>
              <w:spacing w:after="0" w:afterAutospacing="0" w:before="0" w:beforeAutospacing="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Thưởng lễ–tết: 8/3, 20/10, 1/6, Trung Thu, Tết Nguyên Đán, 1/5… theo quy định doanh nghiệp. 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4"/>
              </w:numPr>
              <w:spacing w:after="240" w:before="0" w:beforeAutospacing="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Thưởng thâm niên theo số năm gắn bó.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240" w:before="240"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3. Bảo hiểm và an sinh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0" w:afterAutospacing="0" w:before="24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Bảo hiểm sức khỏe PVI và bảo hiểm tai nạn 24/24 do công ty chi trả.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after="240" w:before="0" w:beforeAutospacing="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Phúc lợi an sinh cho các dịp: sinh nhật, kết hôn, sinh con, hiếu hỷ, ốm đau, khó khăn…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240" w:before="240"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 Nghỉ phép và nghỉ dưỡng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6"/>
              </w:numPr>
              <w:spacing w:after="0" w:afterAutospacing="0" w:before="24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Nghỉ phép: tối đa 15 ngày phép/năm tùy vị trí, ngoài quy định pháp luật.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6"/>
              </w:numPr>
              <w:spacing w:after="240" w:before="0" w:beforeAutospacing="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Du lịch &amp; team building hàng năm trong/ngoài nước tùy chức danh và tình hình công ty.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240" w:before="240"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 Chính sách cho sản phụ và gia đình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5"/>
              </w:numPr>
              <w:spacing w:after="0" w:afterAutospacing="0" w:before="24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Hỗ trợ riêng cho nhân viên nữ nghỉ thai sản và tặng quà mừng trẻ sơ sinh (tối đa 2 lần).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5"/>
              </w:numPr>
              <w:spacing w:after="240" w:before="0" w:beforeAutospacing="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Chế độ mừng cưới, viếng tang cho tứ thân phụ mẫu theo quy định công ty.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240" w:before="240"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6. Hoạt động văn hóa – thể thao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after="0" w:afterAutospacing="0" w:before="24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Câu lạc bộ thể thao: bóng đá, cầu lông.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"/>
              </w:numPr>
              <w:spacing w:after="240" w:before="0" w:beforeAutospacing="0" w:line="360" w:lineRule="auto"/>
              <w:ind w:left="720" w:hanging="360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Phát nhạc thư giãn giữa giờ tạo môi trường làm việc tích cực.</w:t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spacing w:after="240" w:before="240" w:line="360" w:lineRule="auto"/>
        <w:ind w:left="0" w:firstLine="0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